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4517"/>
      </w:tblGrid>
      <w:tr w:rsidR="007950A6" w:rsidRPr="00E438B8" w:rsidTr="000B59A4">
        <w:tc>
          <w:tcPr>
            <w:tcW w:w="5211" w:type="dxa"/>
          </w:tcPr>
          <w:p w:rsidR="007950A6" w:rsidRPr="00D0612A" w:rsidRDefault="007950A6" w:rsidP="007950A6">
            <w:pPr>
              <w:rPr>
                <w:sz w:val="24"/>
                <w:szCs w:val="24"/>
              </w:rPr>
            </w:pPr>
            <w:r w:rsidRPr="00D0612A">
              <w:rPr>
                <w:sz w:val="24"/>
                <w:szCs w:val="24"/>
              </w:rPr>
              <w:t xml:space="preserve">Принято </w:t>
            </w:r>
          </w:p>
          <w:p w:rsidR="007950A6" w:rsidRPr="00D0612A" w:rsidRDefault="007950A6" w:rsidP="007950A6">
            <w:pPr>
              <w:rPr>
                <w:sz w:val="24"/>
                <w:szCs w:val="24"/>
              </w:rPr>
            </w:pPr>
            <w:r w:rsidRPr="00D0612A">
              <w:rPr>
                <w:sz w:val="24"/>
                <w:szCs w:val="24"/>
              </w:rPr>
              <w:t xml:space="preserve">на общем собрании работников </w:t>
            </w:r>
          </w:p>
          <w:p w:rsidR="007950A6" w:rsidRPr="00D0612A" w:rsidRDefault="007950A6" w:rsidP="007950A6">
            <w:pPr>
              <w:rPr>
                <w:sz w:val="24"/>
                <w:szCs w:val="24"/>
              </w:rPr>
            </w:pPr>
            <w:r w:rsidRPr="00D0612A">
              <w:rPr>
                <w:sz w:val="24"/>
                <w:szCs w:val="24"/>
              </w:rPr>
              <w:t>МБОУ «Магистральная СОШ»</w:t>
            </w:r>
          </w:p>
          <w:p w:rsidR="007950A6" w:rsidRPr="00D0612A" w:rsidRDefault="007950A6" w:rsidP="007950A6">
            <w:pPr>
              <w:rPr>
                <w:i/>
                <w:sz w:val="24"/>
                <w:szCs w:val="24"/>
              </w:rPr>
            </w:pPr>
            <w:r w:rsidRPr="00D0612A">
              <w:rPr>
                <w:sz w:val="24"/>
                <w:szCs w:val="24"/>
              </w:rPr>
              <w:t xml:space="preserve">Протокол </w:t>
            </w:r>
            <w:r w:rsidRPr="00D0612A">
              <w:rPr>
                <w:sz w:val="24"/>
                <w:szCs w:val="24"/>
                <w:u w:val="single"/>
              </w:rPr>
              <w:t>№ 1 от «28» августа 2024 г.</w:t>
            </w:r>
          </w:p>
          <w:p w:rsidR="007950A6" w:rsidRPr="00E438B8" w:rsidRDefault="00E71112" w:rsidP="007950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roundrect id="Прямоугольник: скругленные углы 4" o:spid="_x0000_s1026" style="position:absolute;margin-left:-58.8pt;margin-top:6.6pt;width:223.5pt;height:5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      <v:textbox>
                    <w:txbxContent>
                      <w:p w:rsidR="00E71112" w:rsidRDefault="00E71112" w:rsidP="00E71112">
                        <w:pPr>
                          <w:adjustRightInd w:val="0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Подписано цифровой подписью: Арбузова </w:t>
                        </w:r>
                      </w:p>
                      <w:p w:rsidR="00E71112" w:rsidRPr="00431CD6" w:rsidRDefault="00E71112" w:rsidP="00E71112">
                        <w:pPr>
                          <w:adjustRightInd w:val="0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Ляна Викторовна</w:t>
                        </w: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:rsidR="00E71112" w:rsidRPr="00431CD6" w:rsidRDefault="00E71112" w:rsidP="00E71112">
                        <w:pPr>
                          <w:adjustRightInd w:val="0"/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E=uc_fk@roskazna.ru, S=77 Москва, ИНН ЮЛ=7710568760,</w:t>
                        </w:r>
                      </w:p>
                      <w:p w:rsidR="00E71112" w:rsidRPr="00431CD6" w:rsidRDefault="00E71112" w:rsidP="00E71112">
                        <w:pPr>
                          <w:adjustRightInd w:val="0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 xml:space="preserve">ОГРН=1047797019830, STREET="Большой Златоустинский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переулок,</w:t>
                        </w:r>
                      </w:p>
                      <w:p w:rsidR="00E71112" w:rsidRPr="00431CD6" w:rsidRDefault="00E71112" w:rsidP="00E71112">
                        <w:pPr>
                          <w:adjustRightInd w:val="0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д. 6, строение 1", L=г. Москва, C=RU, 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O=Казначейство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 России</w:t>
                        </w:r>
                      </w:p>
                      <w:p w:rsidR="00E71112" w:rsidRDefault="00E71112" w:rsidP="00E71112"/>
                    </w:txbxContent>
                  </v:textbox>
                </v:roundrect>
              </w:pict>
            </w:r>
          </w:p>
        </w:tc>
        <w:tc>
          <w:tcPr>
            <w:tcW w:w="4643" w:type="dxa"/>
          </w:tcPr>
          <w:p w:rsidR="007950A6" w:rsidRPr="00CD43A4" w:rsidRDefault="007950A6" w:rsidP="007950A6">
            <w:pPr>
              <w:rPr>
                <w:sz w:val="24"/>
                <w:szCs w:val="24"/>
              </w:rPr>
            </w:pPr>
            <w:r w:rsidRPr="00EA4EBE">
              <w:rPr>
                <w:sz w:val="24"/>
                <w:szCs w:val="24"/>
              </w:rPr>
              <w:t xml:space="preserve"> </w:t>
            </w:r>
            <w:r w:rsidRPr="00CD43A4">
              <w:rPr>
                <w:sz w:val="24"/>
                <w:szCs w:val="24"/>
              </w:rPr>
              <w:t>«Утверждаю»</w:t>
            </w:r>
          </w:p>
          <w:p w:rsidR="007950A6" w:rsidRPr="00CD43A4" w:rsidRDefault="007950A6" w:rsidP="007950A6">
            <w:pPr>
              <w:rPr>
                <w:sz w:val="24"/>
                <w:szCs w:val="24"/>
              </w:rPr>
            </w:pPr>
            <w:r w:rsidRPr="00CD43A4">
              <w:rPr>
                <w:sz w:val="24"/>
                <w:szCs w:val="24"/>
              </w:rPr>
              <w:t>Директор МБОУ «Магистральная СОШ»</w:t>
            </w:r>
          </w:p>
          <w:p w:rsidR="007950A6" w:rsidRPr="00CD43A4" w:rsidRDefault="007950A6" w:rsidP="007950A6">
            <w:pPr>
              <w:rPr>
                <w:sz w:val="24"/>
                <w:szCs w:val="24"/>
              </w:rPr>
            </w:pPr>
            <w:r w:rsidRPr="00CD43A4">
              <w:rPr>
                <w:sz w:val="24"/>
                <w:szCs w:val="24"/>
              </w:rPr>
              <w:t>Л.В. Арбузова</w:t>
            </w:r>
          </w:p>
          <w:p w:rsidR="007950A6" w:rsidRPr="00E438B8" w:rsidRDefault="007950A6" w:rsidP="007950A6">
            <w:pPr>
              <w:spacing w:line="276" w:lineRule="auto"/>
              <w:rPr>
                <w:i/>
                <w:sz w:val="24"/>
                <w:szCs w:val="24"/>
              </w:rPr>
            </w:pPr>
            <w:r w:rsidRPr="00CD43A4">
              <w:rPr>
                <w:sz w:val="24"/>
                <w:szCs w:val="24"/>
              </w:rPr>
              <w:t xml:space="preserve">Приказ № 275 от «28» августа 2024 г.     </w:t>
            </w:r>
          </w:p>
        </w:tc>
      </w:tr>
    </w:tbl>
    <w:p w:rsidR="000B59A4" w:rsidRPr="00E438B8" w:rsidRDefault="000B59A4" w:rsidP="000B59A4">
      <w:pPr>
        <w:spacing w:line="276" w:lineRule="auto"/>
        <w:ind w:right="57" w:firstLine="709"/>
        <w:jc w:val="both"/>
        <w:rPr>
          <w:sz w:val="24"/>
          <w:szCs w:val="24"/>
        </w:rPr>
      </w:pPr>
      <w:r w:rsidRPr="00E438B8">
        <w:rPr>
          <w:sz w:val="24"/>
          <w:szCs w:val="24"/>
        </w:rPr>
        <w:t xml:space="preserve"> </w:t>
      </w:r>
    </w:p>
    <w:p w:rsidR="00E71112" w:rsidRDefault="00E71112" w:rsidP="000B59A4">
      <w:pPr>
        <w:pStyle w:val="1"/>
        <w:spacing w:line="276" w:lineRule="auto"/>
        <w:ind w:left="0" w:right="0"/>
        <w:rPr>
          <w:sz w:val="24"/>
          <w:szCs w:val="24"/>
        </w:rPr>
      </w:pPr>
    </w:p>
    <w:p w:rsidR="00E71112" w:rsidRDefault="00E71112" w:rsidP="000B59A4">
      <w:pPr>
        <w:pStyle w:val="1"/>
        <w:spacing w:line="276" w:lineRule="auto"/>
        <w:ind w:left="0" w:right="0"/>
        <w:rPr>
          <w:sz w:val="24"/>
          <w:szCs w:val="24"/>
        </w:rPr>
      </w:pPr>
    </w:p>
    <w:p w:rsidR="00E71112" w:rsidRDefault="00E71112" w:rsidP="000B59A4">
      <w:pPr>
        <w:pStyle w:val="1"/>
        <w:spacing w:line="276" w:lineRule="auto"/>
        <w:ind w:left="0" w:right="0"/>
        <w:rPr>
          <w:sz w:val="24"/>
          <w:szCs w:val="24"/>
        </w:rPr>
      </w:pPr>
    </w:p>
    <w:p w:rsidR="00C84708" w:rsidRPr="00FD5FF0" w:rsidRDefault="000B59A4" w:rsidP="000B59A4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 w:rsidRPr="00FD5FF0">
        <w:rPr>
          <w:sz w:val="24"/>
          <w:szCs w:val="24"/>
        </w:rPr>
        <w:t xml:space="preserve">35. </w:t>
      </w:r>
      <w:r w:rsidR="00C84708" w:rsidRPr="00FD5FF0">
        <w:rPr>
          <w:sz w:val="24"/>
          <w:szCs w:val="24"/>
        </w:rPr>
        <w:t>Положение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o сетевой форме реализации образовательных</w:t>
      </w:r>
      <w:r w:rsidR="00F009B2" w:rsidRPr="00FD5FF0">
        <w:rPr>
          <w:sz w:val="24"/>
          <w:szCs w:val="24"/>
        </w:rPr>
        <w:t xml:space="preserve"> программ</w:t>
      </w:r>
      <w:r w:rsidRPr="00FD5FF0">
        <w:rPr>
          <w:b w:val="0"/>
          <w:sz w:val="24"/>
          <w:szCs w:val="24"/>
        </w:rPr>
        <w:t xml:space="preserve"> </w:t>
      </w:r>
    </w:p>
    <w:p w:rsidR="00C84708" w:rsidRPr="00FD5FF0" w:rsidRDefault="00803C2A" w:rsidP="000B59A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w w:val="115"/>
          <w:sz w:val="24"/>
          <w:szCs w:val="24"/>
        </w:rPr>
        <w:t>м</w:t>
      </w:r>
      <w:bookmarkStart w:id="0" w:name="_GoBack"/>
      <w:bookmarkEnd w:id="0"/>
      <w:r w:rsidR="007950A6" w:rsidRPr="007950A6">
        <w:rPr>
          <w:b/>
          <w:w w:val="115"/>
          <w:sz w:val="24"/>
          <w:szCs w:val="24"/>
        </w:rPr>
        <w:t>униципально</w:t>
      </w:r>
      <w:r>
        <w:rPr>
          <w:b/>
          <w:w w:val="115"/>
          <w:sz w:val="24"/>
          <w:szCs w:val="24"/>
        </w:rPr>
        <w:t>го</w:t>
      </w:r>
      <w:r w:rsidR="007950A6" w:rsidRPr="007950A6">
        <w:rPr>
          <w:b/>
          <w:w w:val="115"/>
          <w:sz w:val="24"/>
          <w:szCs w:val="24"/>
        </w:rPr>
        <w:t xml:space="preserve"> бюджетном общеобразовательном учреждении «Магистральная средняя общеобразовательная школа Омского муниципального района Омской области» если форма документа не установлена законом</w:t>
      </w:r>
    </w:p>
    <w:p w:rsidR="00CF4CE1" w:rsidRPr="00FD5FF0" w:rsidRDefault="000B59A4" w:rsidP="003305B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FD5FF0">
        <w:rPr>
          <w:b/>
          <w:sz w:val="24"/>
          <w:szCs w:val="24"/>
        </w:rPr>
        <w:t xml:space="preserve">1. </w:t>
      </w:r>
      <w:r w:rsidR="00CF4CE1" w:rsidRPr="00FD5FF0">
        <w:rPr>
          <w:b/>
          <w:sz w:val="24"/>
          <w:szCs w:val="24"/>
        </w:rPr>
        <w:t>Общие положения</w:t>
      </w:r>
    </w:p>
    <w:p w:rsidR="00C84708" w:rsidRPr="00FD5FF0" w:rsidRDefault="000B59A4" w:rsidP="003305B3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1.1. 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 xml:space="preserve"> (далее — Положение) определяет особенности реализации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C84708" w:rsidRPr="00FD5FF0" w:rsidRDefault="000B59A4" w:rsidP="003305B3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w w:val="105"/>
          <w:sz w:val="24"/>
          <w:szCs w:val="24"/>
        </w:rPr>
        <w:t xml:space="preserve">1.2. 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200315" w:rsidRPr="00FD5FF0">
        <w:rPr>
          <w:w w:val="105"/>
          <w:sz w:val="24"/>
          <w:szCs w:val="24"/>
        </w:rPr>
        <w:t xml:space="preserve"> </w:t>
      </w:r>
      <w:r w:rsidR="00B7267E" w:rsidRPr="00B7267E">
        <w:rPr>
          <w:sz w:val="24"/>
          <w:szCs w:val="24"/>
          <w:lang w:bidi="ar-SA"/>
        </w:rPr>
        <w:t>Минобрнауки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 xml:space="preserve">зовании в Российской Федерации", </w:t>
      </w:r>
      <w:r w:rsidR="00200315" w:rsidRPr="00FD5FF0"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Минобрнауки, Минпросвещения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0B59A4" w:rsidP="003305B3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1.3. </w:t>
      </w:r>
      <w:r w:rsidR="00C84708" w:rsidRPr="00FD5FF0">
        <w:rPr>
          <w:sz w:val="24"/>
          <w:szCs w:val="24"/>
        </w:rPr>
        <w:t xml:space="preserve"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</w:t>
      </w:r>
      <w:r w:rsidR="00C84708" w:rsidRPr="00FD5FF0">
        <w:rPr>
          <w:sz w:val="24"/>
          <w:szCs w:val="24"/>
        </w:rPr>
        <w:lastRenderedPageBreak/>
        <w:t>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организации-участники).</w:t>
      </w:r>
    </w:p>
    <w:p w:rsidR="00C84708" w:rsidRPr="00FD5FF0" w:rsidRDefault="000B59A4" w:rsidP="003305B3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pacing w:val="-3"/>
          <w:sz w:val="24"/>
          <w:szCs w:val="24"/>
        </w:rPr>
        <w:t>Минобрнауки</w:t>
      </w:r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Минобрнауки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3.6. 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таких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>Статус обучающихся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 xml:space="preserve"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</w:t>
      </w:r>
      <w:r w:rsidRPr="00FD5FF0">
        <w:lastRenderedPageBreak/>
        <w:t>форме договора о сетевой форме реализации образовательных программ, утвержденной приказом Минобрнауки,</w:t>
      </w:r>
      <w:r w:rsidR="005B2D1D" w:rsidRPr="00FD5FF0">
        <w:t xml:space="preserve"> </w:t>
      </w:r>
      <w:r w:rsidRPr="00FD5FF0">
        <w:t>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EA522B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FD5FF0" w:rsidSect="00803C2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95E02"/>
    <w:rsid w:val="005A55E2"/>
    <w:rsid w:val="005B2D1D"/>
    <w:rsid w:val="005D74A4"/>
    <w:rsid w:val="005F30E1"/>
    <w:rsid w:val="0065293F"/>
    <w:rsid w:val="007516A3"/>
    <w:rsid w:val="007950A6"/>
    <w:rsid w:val="00803C2A"/>
    <w:rsid w:val="00970C10"/>
    <w:rsid w:val="009860DA"/>
    <w:rsid w:val="00A74D77"/>
    <w:rsid w:val="00A922D5"/>
    <w:rsid w:val="00B65E2C"/>
    <w:rsid w:val="00B7267E"/>
    <w:rsid w:val="00B8186E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1112"/>
    <w:rsid w:val="00E75565"/>
    <w:rsid w:val="00EA522B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2023-06-02T08:47:00Z</dcterms:created>
  <dcterms:modified xsi:type="dcterms:W3CDTF">2024-10-13T09:36:00Z</dcterms:modified>
</cp:coreProperties>
</file>